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45d1e0199494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49472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Javna ustanova AQUATIKA - SLATKOVODNI AKVARIJ KARLOVAC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XII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919.568,08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1.090.865,17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940.882,96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1.132.619,18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21.314,88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41.754,01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195,9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2.401,59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16.631,14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20.859,76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14.229,55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20.859,76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146,6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35.544,43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62.613,77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176,2</w:t>
            </w:r>
          </w:p>
        </w:tc>
      </w:tr>
    </w:tbl>
    <w:p>
      <w:pPr>
        <w:spacing w:before="0" w:after="0"/>
      </w:pPr>
    </w:p>
    <w:p>
      <w:r>
        <w:t xml:space="preserve">U promatranom periodu prihodi su porasli za 18,6 % dok su rashodi zabilježili nešto veći rast odnosno za 20,4 %. Unutar prihoda najznačajniji je rast prihoda iz nadležnog proračuna te prihoda od prodaje proizvoda i robe te pruženih usluga, a kod rashoda najviše su porasli rashodi za zaposlene. Kod materijalnih rashoda najviše su porasli rashodi za usluge. Detaljnija objašnjenja uz konta: 671, 66, 31, 323, 3293, 343 i 422.</w:t>
      </w:r>
    </w:p>
    <w:p>
      <w:r>
        <w:t xml:space="preserve">Rezultat poslovanja promatranog perioda proizlazi iz činjenice da iako su ukupni pihodi poslovanja porasli za 18,6 %, a prihodi iz nadležnog proračuna za 32,9 %, istovremeno su rashodi poslovanja porasli za 20,4 %. Osim što su rashodi imali veći rast od prihoda, bitno je napomenuti da je ovaj period teretio i rashod plaća za 12 mj/2025 - 13. plaća.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279.972,66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337.770,90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120,6</w:t>
            </w:r>
          </w:p>
        </w:tc>
      </w:tr>
    </w:tbl>
    <w:p>
      <w:pPr>
        <w:spacing w:before="0" w:after="0"/>
      </w:pPr>
    </w:p>
    <w:p>
      <w:r>
        <w:t xml:space="preserve">Povećanje individualnih posjeta rezultiralo je povećanjem prihoda od prodaje suvenira i ugostiteljskih usluga. Također, ostvareni prihodi od donacije omogućili su postavljanje nove izložbe u edukacijskoj dvorani.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redovne djelatnosti proračunskih korisnika (šifre 6711 do 6714)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316.032,74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420.162,97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132,9</w:t>
            </w:r>
          </w:p>
        </w:tc>
      </w:tr>
    </w:tbl>
    <w:p>
      <w:pPr>
        <w:spacing w:before="0" w:after="0"/>
      </w:pPr>
    </w:p>
    <w:p>
      <w:r>
        <w:t xml:space="preserve">Povećanje osnovice i promjena koeficijenata rezultiralo je povećanjem rashoda za zaposlene u odnosu na prethodnu godinu odnosno povećanjem prihoda iz nadležnog proračuna. Ovo povećanje bilo bi i veće da nije dio rashoda za zaposlene isplaćen iz vlastitih izvora (preneseni vlastiti viškovi iz prethodne godine - 50.000,00 € + ostvareni prihodi u promatranoj godini - 71.119,41 €). Iz prethodno navedenog razloga ovi rashodi nemaju paralelan konto prihoda (konto 671). Sve navedeno utječe i pojašnjava odnos prihoda i rashoda odnosno rezultat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391.596,90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529.851,52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135,3</w:t>
            </w:r>
          </w:p>
        </w:tc>
      </w:tr>
    </w:tbl>
    <w:p>
      <w:pPr>
        <w:spacing w:before="0" w:after="0"/>
      </w:pPr>
    </w:p>
    <w:p>
      <w:r>
        <w:t xml:space="preserve">Povećanje osnovice i promjena koeficijenata rezultiralo je povećanjem rashoda za zaposlene u odnosu na prethodnu godinu. Važno je naglasiti da je dio rashoda za zaposlene isplaćen iz vlastitih izvora (preneseni vlastiti viškovi iz prethodne godine - 50.000,00 € + ostvareni prihodi u promatranoj godini - 71.119,41 €). Iz prethodno navedenog razloga ovi rashodi nemaju paralelan konto prihoda (konto 671) i predstavljaju samo rashod. Također, plaća za 12.mj/2025. teretila je proračun 2025. i knjižena je kao rashod na teret vlastitih izvora (ne više kao kontinuirani rashod budućeg razdoblja - konto 193110). Prethodno navedeno dodatno pojašnjava odnos prihoda i rashoda odnosno rezultat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257.943,71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305.602,37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118,5</w:t>
            </w:r>
          </w:p>
        </w:tc>
      </w:tr>
    </w:tbl>
    <w:p>
      <w:pPr>
        <w:spacing w:before="0" w:after="0"/>
      </w:pPr>
    </w:p>
    <w:p>
      <w:r>
        <w:t xml:space="preserve">Povećanje obima posla u svim segmentima i nastojanje za pružanjem što bolje i kvalitetnije usluge, uz istovremeni nedovoljan/smanjen broj djelatnika (porodiljni dopusti i dugotrajno bolovanje) rezultiralo je povećanjem angažmana vanjskih suradnika kako bi se poslovanje odvijalo uspješno i nesmetano: suradnja s agencijama na promidžbenim aktivnostima, angažiranje vodiča za usluge stručnog vođenja i održavanja edukativnih radionica, rad studenata preko studentskih servisa, izrada fotografija i sl. - povećanje rashoda za intelektualne usluge; povećanje cijena komunalnih usluga; povećanje cijene usluga čišćenja te usluga čuvanja imovine - povećanje rashoda za ostale usluge.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Reprezentacija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4.131,55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8.106,03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196,2</w:t>
            </w:r>
          </w:p>
        </w:tc>
      </w:tr>
    </w:tbl>
    <w:p>
      <w:pPr>
        <w:spacing w:before="0" w:after="0"/>
      </w:pPr>
    </w:p>
    <w:p>
      <w:r>
        <w:t xml:space="preserve">Povećanje ove vrste rashoda posljedica je organizacije domijenaka u povodu otvorenja izložbi i promocija knjiga  tijekom cijelog promatranog perioda sa svrhom privlačenja posjetilaca, edukativnog djelovanja i podizanja kvalitete cjelokupnog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Bankarske usluge i usluge platnog prometa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6.096,72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7.439,64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122,0</w:t>
            </w:r>
          </w:p>
        </w:tc>
      </w:tr>
    </w:tbl>
    <w:p>
      <w:pPr>
        <w:spacing w:before="0" w:after="0"/>
      </w:pPr>
    </w:p>
    <w:p>
      <w:r>
        <w:t xml:space="preserve">Povećanje prodaje ulaznica, suvenira i ugostiteljstkih usluga rezultira povećanjem prihoda za gotovinsko ali i kartično plaćanje - povećanje naknade banaka za kartičnu naplatu.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financijski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10.675,74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3.375,35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31,6</w:t>
            </w:r>
          </w:p>
        </w:tc>
      </w:tr>
    </w:tbl>
    <w:p>
      <w:pPr>
        <w:spacing w:before="0" w:after="0"/>
      </w:pPr>
    </w:p>
    <w:p>
      <w:r>
        <w:t xml:space="preserve">Neplaćanje akontacije poreza na dobit temeljem predanog PD obrasca za prethodnu godinu - smanjenje ove vrste rashoda.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Postrojenja i oprema (šifre 4221 do 4228)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6.403,94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16.054,76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250,7</w:t>
            </w:r>
          </w:p>
        </w:tc>
      </w:tr>
    </w:tbl>
    <w:p>
      <w:pPr>
        <w:spacing w:before="0" w:after="0"/>
      </w:pPr>
    </w:p>
    <w:p>
      <w:r>
        <w:t xml:space="preserve">Uslijed dugogodišnjeg i neprekidnog rada uređaja dolazi do kvarova pojedinih i potrebe za nabavom novih (npr. nove pumpe za akvarijski sustav filtracije i novi kompresor za punjenje ronilačkih boca - za čišćenje i održavanje velikog akvarija). Nabavljen je novi ormar za potrebe adminstracije i odlaganja pribora za edukacijske radionice.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Bilanca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Ispravak vrijednosti potraživanja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241,56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Otpis ispravka potraživanja radi nemogućnosti naplate: prošlo je više od 5 godina, redovito slani IOS-i uz pokušaje komunikacije/naplate, u međuvremenu poslovni subjekt dobio status neaktivan/izbrisan.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Promjene u vrijednosti i obujmu imovine i obveza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 povećanja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 smanjenja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91512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Promjene u obujmu imovine (šifre P016+P023)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91512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79.752,00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Smanjenje u obujmu imovine kao rezultat isknjiženja dijela imovine (1500,79 €) i ispravka vrijednosti proizvedene dugotrajne imovine (78.251,57 €), dakle ukupno 79.752,36 € (program zaokružuje iznos).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na kraju pormatranog razdoblja odnose se na račun koji je kasno poslan od strane dobavljača pa prema tome i kasno zaprimljen kroz sustav - nedovoljno vremena da se u roku dospijeća provede postupak ovjere i plaćanje kroz proceduru riznice Grada.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Zaprimljena sredstva odnose se na završetak projekta CreDit koji je započeo 2023. g, zadnjom uplatom izvršena je administrativna obrada dovršetka projekta.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a708d19b5ce4392" /></Relationships>
</file>